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7ED" w:rsidRDefault="00FF57ED" w:rsidP="00706F0C">
      <w:pPr>
        <w:tabs>
          <w:tab w:val="left" w:pos="-720"/>
        </w:tabs>
        <w:spacing w:line="240" w:lineRule="atLeast"/>
        <w:rPr>
          <w:b/>
          <w:iCs/>
          <w:sz w:val="24"/>
          <w:lang w:val="en-US"/>
        </w:rPr>
      </w:pPr>
      <w:r>
        <w:rPr>
          <w:b/>
          <w:iCs/>
          <w:sz w:val="24"/>
          <w:lang w:val="en-US"/>
        </w:rPr>
        <w:t>Professor Howard Robinson</w:t>
      </w:r>
    </w:p>
    <w:p w:rsidR="00706F0C" w:rsidRPr="00706F0C" w:rsidRDefault="00706F0C" w:rsidP="00706F0C">
      <w:pPr>
        <w:tabs>
          <w:tab w:val="left" w:pos="-720"/>
        </w:tabs>
        <w:spacing w:line="240" w:lineRule="atLeast"/>
        <w:rPr>
          <w:b/>
          <w:iCs/>
          <w:sz w:val="24"/>
          <w:lang w:val="en-US"/>
        </w:rPr>
      </w:pPr>
      <w:r>
        <w:rPr>
          <w:b/>
          <w:iCs/>
          <w:sz w:val="24"/>
          <w:lang w:val="en-US"/>
        </w:rPr>
        <w:t>Books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iCs/>
          <w:sz w:val="24"/>
          <w:lang w:val="en-US"/>
        </w:rPr>
      </w:pP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  <w:r>
        <w:rPr>
          <w:i/>
          <w:iCs/>
          <w:sz w:val="24"/>
          <w:lang w:val="en-US"/>
        </w:rPr>
        <w:t xml:space="preserve">Contemporary Dualism: a </w:t>
      </w:r>
      <w:proofErr w:type="spellStart"/>
      <w:r>
        <w:rPr>
          <w:i/>
          <w:iCs/>
          <w:sz w:val="24"/>
          <w:lang w:val="en-US"/>
        </w:rPr>
        <w:t>defence</w:t>
      </w:r>
      <w:proofErr w:type="spellEnd"/>
      <w:r>
        <w:rPr>
          <w:i/>
          <w:iCs/>
          <w:sz w:val="24"/>
          <w:lang w:val="en-US"/>
        </w:rPr>
        <w:t xml:space="preserve">, </w:t>
      </w:r>
      <w:r>
        <w:rPr>
          <w:sz w:val="24"/>
          <w:lang w:val="en-US"/>
        </w:rPr>
        <w:t>edited with Andrea Lavazza, Milan University: London, Routledge, 2014, 292pp. (Paperback-on-demand, forthcoming 2016)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  <w:r>
        <w:rPr>
          <w:sz w:val="24"/>
          <w:lang w:val="en-US"/>
        </w:rPr>
        <w:t xml:space="preserve">(Contributors include; Richard Swinburne, Uwe </w:t>
      </w:r>
      <w:proofErr w:type="spellStart"/>
      <w:r>
        <w:rPr>
          <w:sz w:val="24"/>
          <w:lang w:val="en-US"/>
        </w:rPr>
        <w:t>Meixner</w:t>
      </w:r>
      <w:proofErr w:type="spellEnd"/>
      <w:r>
        <w:rPr>
          <w:sz w:val="24"/>
          <w:lang w:val="en-US"/>
        </w:rPr>
        <w:t xml:space="preserve">, Henry Stapp, E. J. Lowe, Ralph Walker, William </w:t>
      </w:r>
      <w:proofErr w:type="spellStart"/>
      <w:r>
        <w:rPr>
          <w:sz w:val="24"/>
          <w:lang w:val="en-US"/>
        </w:rPr>
        <w:t>Hasker</w:t>
      </w:r>
      <w:proofErr w:type="spellEnd"/>
      <w:r>
        <w:rPr>
          <w:sz w:val="24"/>
          <w:lang w:val="en-US"/>
        </w:rPr>
        <w:t xml:space="preserve">, Charles </w:t>
      </w:r>
      <w:proofErr w:type="spellStart"/>
      <w:r>
        <w:rPr>
          <w:sz w:val="24"/>
          <w:lang w:val="en-US"/>
        </w:rPr>
        <w:t>Talliaferro</w:t>
      </w:r>
      <w:proofErr w:type="spellEnd"/>
      <w:r>
        <w:rPr>
          <w:sz w:val="24"/>
          <w:lang w:val="en-US"/>
        </w:rPr>
        <w:t xml:space="preserve">, Martina </w:t>
      </w:r>
      <w:proofErr w:type="spellStart"/>
      <w:r>
        <w:rPr>
          <w:sz w:val="24"/>
          <w:lang w:val="en-US"/>
        </w:rPr>
        <w:t>Furst</w:t>
      </w:r>
      <w:proofErr w:type="spellEnd"/>
      <w:r>
        <w:rPr>
          <w:sz w:val="24"/>
          <w:lang w:val="en-US"/>
        </w:rPr>
        <w:t xml:space="preserve">). 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</w:p>
    <w:p w:rsidR="00706F0C" w:rsidRPr="009726D7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  <w:r>
        <w:rPr>
          <w:bCs/>
          <w:i/>
          <w:sz w:val="24"/>
          <w:lang w:val="en-US"/>
        </w:rPr>
        <w:t xml:space="preserve">From Knowledge Argument to Mental Substance: Resurrecting the Mind. </w:t>
      </w:r>
      <w:r>
        <w:rPr>
          <w:bCs/>
          <w:sz w:val="24"/>
          <w:lang w:val="en-US"/>
        </w:rPr>
        <w:t xml:space="preserve">Cambridge, Cambridge University Press, 2016. Pp. 270. (Paperback Sept. 2017). Review </w:t>
      </w:r>
      <w:r>
        <w:rPr>
          <w:bCs/>
          <w:i/>
          <w:sz w:val="24"/>
          <w:lang w:val="en-US"/>
        </w:rPr>
        <w:t>Times Lit. Sup.</w:t>
      </w:r>
      <w:r w:rsidR="00FF57ED">
        <w:rPr>
          <w:bCs/>
          <w:i/>
          <w:sz w:val="24"/>
          <w:lang w:val="en-US"/>
        </w:rPr>
        <w:t xml:space="preserve"> </w:t>
      </w:r>
      <w:bookmarkStart w:id="0" w:name="_GoBack"/>
      <w:bookmarkEnd w:id="0"/>
      <w:r>
        <w:rPr>
          <w:bCs/>
          <w:sz w:val="24"/>
          <w:lang w:val="en-US"/>
        </w:rPr>
        <w:t>Sept. 15, 2017.</w:t>
      </w:r>
    </w:p>
    <w:p w:rsidR="00706F0C" w:rsidRDefault="00706F0C" w:rsidP="00706F0C">
      <w:pPr>
        <w:tabs>
          <w:tab w:val="left" w:pos="-294"/>
        </w:tabs>
        <w:spacing w:line="240" w:lineRule="atLeast"/>
        <w:ind w:left="426" w:hanging="426"/>
        <w:rPr>
          <w:bCs/>
          <w:sz w:val="24"/>
          <w:lang w:val="en-US"/>
        </w:rPr>
      </w:pPr>
    </w:p>
    <w:p w:rsidR="00706F0C" w:rsidRPr="00706F0C" w:rsidRDefault="00706F0C" w:rsidP="00706F0C">
      <w:pPr>
        <w:tabs>
          <w:tab w:val="left" w:pos="-720"/>
        </w:tabs>
        <w:spacing w:line="240" w:lineRule="atLeast"/>
        <w:ind w:left="426" w:hanging="426"/>
        <w:rPr>
          <w:b/>
          <w:sz w:val="24"/>
          <w:lang w:val="en-US"/>
        </w:rPr>
      </w:pPr>
      <w:r>
        <w:rPr>
          <w:b/>
          <w:sz w:val="24"/>
          <w:lang w:val="en-US"/>
        </w:rPr>
        <w:t>Articles and book chapters</w:t>
      </w:r>
    </w:p>
    <w:p w:rsidR="00706F0C" w:rsidRDefault="00706F0C" w:rsidP="00706F0C">
      <w:pPr>
        <w:tabs>
          <w:tab w:val="left" w:pos="-720"/>
        </w:tabs>
        <w:spacing w:line="240" w:lineRule="atLeast"/>
        <w:ind w:left="426" w:hanging="426"/>
        <w:rPr>
          <w:sz w:val="24"/>
          <w:lang w:val="en-US"/>
        </w:rPr>
      </w:pPr>
    </w:p>
    <w:p w:rsidR="00706F0C" w:rsidRPr="00852E1B" w:rsidRDefault="00706F0C" w:rsidP="00706F0C">
      <w:pPr>
        <w:tabs>
          <w:tab w:val="left" w:pos="-720"/>
        </w:tabs>
        <w:spacing w:line="240" w:lineRule="atLeast"/>
        <w:ind w:left="426" w:hanging="426"/>
        <w:rPr>
          <w:sz w:val="24"/>
          <w:lang w:val="en-US"/>
        </w:rPr>
      </w:pPr>
      <w:r>
        <w:rPr>
          <w:sz w:val="24"/>
          <w:lang w:val="en-US"/>
        </w:rPr>
        <w:t xml:space="preserve">‘Modern </w:t>
      </w:r>
      <w:proofErr w:type="spellStart"/>
      <w:r>
        <w:rPr>
          <w:sz w:val="24"/>
          <w:lang w:val="en-US"/>
        </w:rPr>
        <w:t>hylomorphism</w:t>
      </w:r>
      <w:proofErr w:type="spellEnd"/>
      <w:r>
        <w:rPr>
          <w:sz w:val="24"/>
          <w:lang w:val="en-US"/>
        </w:rPr>
        <w:t xml:space="preserve"> and the reality and causal power of structure; a skeptical </w:t>
      </w:r>
      <w:proofErr w:type="gramStart"/>
      <w:r>
        <w:rPr>
          <w:sz w:val="24"/>
          <w:lang w:val="en-US"/>
        </w:rPr>
        <w:t>investigation.’,</w:t>
      </w:r>
      <w:proofErr w:type="gramEnd"/>
      <w:r>
        <w:rPr>
          <w:sz w:val="24"/>
          <w:lang w:val="en-US"/>
        </w:rPr>
        <w:t xml:space="preserve"> </w:t>
      </w:r>
      <w:r>
        <w:rPr>
          <w:i/>
          <w:sz w:val="24"/>
          <w:lang w:val="en-US"/>
        </w:rPr>
        <w:t xml:space="preserve">Res </w:t>
      </w:r>
      <w:proofErr w:type="spellStart"/>
      <w:r>
        <w:rPr>
          <w:i/>
          <w:sz w:val="24"/>
          <w:lang w:val="en-US"/>
        </w:rPr>
        <w:t>Philosophica</w:t>
      </w:r>
      <w:proofErr w:type="spellEnd"/>
      <w:r>
        <w:rPr>
          <w:i/>
          <w:sz w:val="24"/>
          <w:lang w:val="en-US"/>
        </w:rPr>
        <w:t xml:space="preserve"> </w:t>
      </w:r>
      <w:r>
        <w:rPr>
          <w:sz w:val="24"/>
          <w:lang w:val="en-US"/>
        </w:rPr>
        <w:t>vol. 91, 2014, 203-14.</w:t>
      </w:r>
    </w:p>
    <w:p w:rsidR="00706F0C" w:rsidRDefault="00706F0C" w:rsidP="00706F0C">
      <w:pPr>
        <w:tabs>
          <w:tab w:val="left" w:pos="-720"/>
        </w:tabs>
        <w:spacing w:line="240" w:lineRule="atLeast"/>
        <w:ind w:left="426" w:hanging="426"/>
        <w:rPr>
          <w:sz w:val="24"/>
          <w:lang w:val="en-US"/>
        </w:rPr>
      </w:pPr>
    </w:p>
    <w:p w:rsidR="00706F0C" w:rsidRDefault="00706F0C" w:rsidP="00706F0C">
      <w:pPr>
        <w:tabs>
          <w:tab w:val="left" w:pos="-720"/>
        </w:tabs>
        <w:spacing w:line="240" w:lineRule="atLeast"/>
        <w:rPr>
          <w:i/>
          <w:sz w:val="24"/>
          <w:lang w:val="en-US"/>
        </w:rPr>
      </w:pPr>
      <w:r>
        <w:rPr>
          <w:sz w:val="24"/>
          <w:lang w:val="en-US"/>
        </w:rPr>
        <w:t xml:space="preserve">‘Phenomenal qualities: what they must be and what they cannot be’, in </w:t>
      </w:r>
      <w:r>
        <w:rPr>
          <w:i/>
          <w:sz w:val="24"/>
          <w:lang w:val="en-US"/>
        </w:rPr>
        <w:t xml:space="preserve">Phenomenal </w:t>
      </w:r>
    </w:p>
    <w:p w:rsidR="00706F0C" w:rsidRDefault="00706F0C" w:rsidP="00706F0C">
      <w:pPr>
        <w:tabs>
          <w:tab w:val="left" w:pos="-720"/>
        </w:tabs>
        <w:spacing w:line="240" w:lineRule="atLeast"/>
        <w:ind w:left="720"/>
        <w:rPr>
          <w:sz w:val="24"/>
          <w:lang w:val="en-US"/>
        </w:rPr>
      </w:pPr>
      <w:r>
        <w:rPr>
          <w:i/>
          <w:sz w:val="24"/>
          <w:lang w:val="en-US"/>
        </w:rPr>
        <w:t xml:space="preserve">Qualities: Sense, Perception and Consciousness, </w:t>
      </w:r>
      <w:proofErr w:type="spellStart"/>
      <w:proofErr w:type="gramStart"/>
      <w:r>
        <w:rPr>
          <w:sz w:val="24"/>
          <w:lang w:val="en-US"/>
        </w:rPr>
        <w:t>eds</w:t>
      </w:r>
      <w:proofErr w:type="spellEnd"/>
      <w:proofErr w:type="gramEnd"/>
      <w:r>
        <w:rPr>
          <w:sz w:val="24"/>
          <w:lang w:val="en-US"/>
        </w:rPr>
        <w:t xml:space="preserve"> Paul Coates and Sam. Coleman, Oxford University Press, </w:t>
      </w:r>
      <w:r w:rsidRPr="00C80C58">
        <w:rPr>
          <w:sz w:val="24"/>
          <w:lang w:val="en-US"/>
        </w:rPr>
        <w:t>2015</w:t>
      </w:r>
      <w:r>
        <w:rPr>
          <w:sz w:val="24"/>
          <w:lang w:val="en-US"/>
        </w:rPr>
        <w:t>, 103-20.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</w:p>
    <w:p w:rsidR="00706F0C" w:rsidRPr="00706F0C" w:rsidRDefault="00706F0C" w:rsidP="00706F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‘Idealism and perception: why </w:t>
      </w:r>
      <w:proofErr w:type="spellStart"/>
      <w:r>
        <w:rPr>
          <w:sz w:val="24"/>
          <w:szCs w:val="24"/>
          <w:lang w:val="en-US"/>
        </w:rPr>
        <w:t>Berkeleyan</w:t>
      </w:r>
      <w:proofErr w:type="spellEnd"/>
      <w:r>
        <w:rPr>
          <w:sz w:val="24"/>
          <w:szCs w:val="24"/>
          <w:lang w:val="en-US"/>
        </w:rPr>
        <w:t xml:space="preserve"> idealism is not as counterintuitive as it seems’ in </w:t>
      </w:r>
      <w:r>
        <w:rPr>
          <w:i/>
          <w:sz w:val="24"/>
          <w:szCs w:val="24"/>
          <w:lang w:val="en-US"/>
        </w:rPr>
        <w:t>Idealism and Christian Philosophy</w:t>
      </w:r>
      <w:r w:rsidRPr="003A08C6">
        <w:rPr>
          <w:rStyle w:val="Emphasis"/>
          <w:sz w:val="24"/>
          <w:szCs w:val="24"/>
        </w:rPr>
        <w:t>,</w:t>
      </w:r>
      <w:r w:rsidRPr="00B93BC7">
        <w:rPr>
          <w:rFonts w:ascii="Times" w:hAnsi="Times" w:cs="Times"/>
          <w:sz w:val="24"/>
          <w:szCs w:val="24"/>
          <w:lang w:val="en-US"/>
        </w:rPr>
        <w:t> </w:t>
      </w:r>
      <w:r>
        <w:rPr>
          <w:rFonts w:ascii="Times" w:hAnsi="Times" w:cs="Times"/>
          <w:sz w:val="24"/>
          <w:szCs w:val="24"/>
          <w:lang w:val="en-US"/>
        </w:rPr>
        <w:t>e</w:t>
      </w:r>
      <w:r w:rsidRPr="00B93BC7">
        <w:rPr>
          <w:sz w:val="24"/>
          <w:szCs w:val="24"/>
          <w:lang w:val="en-US"/>
        </w:rPr>
        <w:t>dited by James S. Spiegel and Steven B. Cowan</w:t>
      </w:r>
      <w:r>
        <w:rPr>
          <w:sz w:val="24"/>
          <w:szCs w:val="24"/>
          <w:lang w:val="en-US"/>
        </w:rPr>
        <w:t xml:space="preserve">, New York; Bloomsbury, 71-89. This is volume 2 of a two volume series entitled </w:t>
      </w:r>
      <w:r>
        <w:rPr>
          <w:i/>
          <w:sz w:val="24"/>
          <w:szCs w:val="24"/>
          <w:lang w:val="en-US"/>
        </w:rPr>
        <w:t>Idealism and Christianity.</w:t>
      </w:r>
      <w:r>
        <w:rPr>
          <w:sz w:val="24"/>
          <w:szCs w:val="24"/>
          <w:lang w:val="en-US"/>
        </w:rPr>
        <w:t xml:space="preserve"> Vol. 1 is </w:t>
      </w:r>
      <w:r>
        <w:rPr>
          <w:i/>
          <w:sz w:val="24"/>
          <w:szCs w:val="24"/>
          <w:lang w:val="en-US"/>
        </w:rPr>
        <w:t>Idealism and Christian Theology</w:t>
      </w:r>
      <w:r>
        <w:rPr>
          <w:sz w:val="24"/>
          <w:szCs w:val="24"/>
          <w:lang w:val="en-US"/>
        </w:rPr>
        <w:t>.</w:t>
      </w:r>
      <w:r w:rsidRPr="00B93BC7">
        <w:rPr>
          <w:rFonts w:ascii="Times" w:hAnsi="Times" w:cs="Times"/>
          <w:sz w:val="24"/>
          <w:szCs w:val="24"/>
          <w:lang w:val="en-US"/>
        </w:rPr>
        <w:t> </w:t>
      </w:r>
      <w:r>
        <w:rPr>
          <w:rFonts w:ascii="Times" w:hAnsi="Times" w:cs="Times"/>
          <w:sz w:val="24"/>
          <w:szCs w:val="24"/>
          <w:lang w:val="en-US"/>
        </w:rPr>
        <w:t>2016.</w:t>
      </w:r>
    </w:p>
    <w:p w:rsidR="00706F0C" w:rsidRPr="007979D5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</w:p>
    <w:p w:rsidR="00706F0C" w:rsidRDefault="00706F0C" w:rsidP="00706F0C">
      <w:pPr>
        <w:tabs>
          <w:tab w:val="left" w:pos="-720"/>
        </w:tabs>
        <w:spacing w:line="240" w:lineRule="atLeast"/>
        <w:rPr>
          <w:i/>
          <w:sz w:val="24"/>
          <w:lang w:val="en-US"/>
        </w:rPr>
      </w:pPr>
      <w:r>
        <w:rPr>
          <w:sz w:val="24"/>
          <w:lang w:val="en-US"/>
        </w:rPr>
        <w:t>‘</w:t>
      </w:r>
      <w:proofErr w:type="spellStart"/>
      <w:r>
        <w:rPr>
          <w:sz w:val="24"/>
          <w:lang w:val="en-US"/>
        </w:rPr>
        <w:t>Berkelian</w:t>
      </w:r>
      <w:proofErr w:type="spellEnd"/>
      <w:r>
        <w:rPr>
          <w:sz w:val="24"/>
          <w:lang w:val="en-US"/>
        </w:rPr>
        <w:t xml:space="preserve"> idealism and orthodox Christian theology’, in </w:t>
      </w:r>
      <w:r>
        <w:rPr>
          <w:i/>
          <w:sz w:val="24"/>
          <w:lang w:val="en-US"/>
        </w:rPr>
        <w:t xml:space="preserve">Rethinking the </w:t>
      </w:r>
    </w:p>
    <w:p w:rsidR="00706F0C" w:rsidRPr="004C5001" w:rsidRDefault="00706F0C" w:rsidP="00706F0C">
      <w:pPr>
        <w:tabs>
          <w:tab w:val="left" w:pos="-720"/>
        </w:tabs>
        <w:spacing w:line="240" w:lineRule="atLeast"/>
        <w:ind w:left="720"/>
        <w:rPr>
          <w:sz w:val="24"/>
          <w:lang w:val="en-US"/>
        </w:rPr>
      </w:pPr>
      <w:r>
        <w:rPr>
          <w:i/>
          <w:sz w:val="24"/>
          <w:lang w:val="en-US"/>
        </w:rPr>
        <w:t>Concept of a Personal God,</w:t>
      </w:r>
      <w:r>
        <w:rPr>
          <w:sz w:val="24"/>
          <w:lang w:val="en-US"/>
        </w:rPr>
        <w:t xml:space="preserve"> </w:t>
      </w:r>
      <w:proofErr w:type="spellStart"/>
      <w:proofErr w:type="gramStart"/>
      <w:r>
        <w:rPr>
          <w:sz w:val="24"/>
          <w:lang w:val="en-US"/>
        </w:rPr>
        <w:t>eds</w:t>
      </w:r>
      <w:proofErr w:type="spellEnd"/>
      <w:proofErr w:type="gramEnd"/>
      <w:r>
        <w:rPr>
          <w:sz w:val="24"/>
          <w:lang w:val="en-US"/>
        </w:rPr>
        <w:t xml:space="preserve"> Thomas </w:t>
      </w:r>
      <w:proofErr w:type="spellStart"/>
      <w:r>
        <w:rPr>
          <w:sz w:val="24"/>
          <w:lang w:val="en-US"/>
        </w:rPr>
        <w:t>Schaertl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Christain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Tapp</w:t>
      </w:r>
      <w:proofErr w:type="spellEnd"/>
      <w:r>
        <w:rPr>
          <w:sz w:val="24"/>
          <w:lang w:val="en-US"/>
        </w:rPr>
        <w:t xml:space="preserve">, Veronika Wegener, </w:t>
      </w:r>
      <w:proofErr w:type="spellStart"/>
      <w:r>
        <w:rPr>
          <w:sz w:val="24"/>
          <w:lang w:val="en-US"/>
        </w:rPr>
        <w:t>Aschendorf</w:t>
      </w:r>
      <w:proofErr w:type="spellEnd"/>
      <w:r>
        <w:rPr>
          <w:sz w:val="24"/>
          <w:lang w:val="en-US"/>
        </w:rPr>
        <w:t xml:space="preserve"> Publishing, 2016. These are the proceedings of a conference of the same title held in Mainz, March 2014.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b/>
          <w:sz w:val="28"/>
          <w:szCs w:val="28"/>
          <w:lang w:val="en-US"/>
        </w:rPr>
      </w:pPr>
    </w:p>
    <w:p w:rsidR="00706F0C" w:rsidRDefault="00706F0C" w:rsidP="00706F0C">
      <w:pPr>
        <w:tabs>
          <w:tab w:val="left" w:pos="-720"/>
        </w:tabs>
        <w:spacing w:line="240" w:lineRule="atLeast"/>
        <w:rPr>
          <w:i/>
          <w:iCs/>
          <w:sz w:val="24"/>
          <w:lang w:val="en-US"/>
        </w:rPr>
      </w:pPr>
      <w:r>
        <w:rPr>
          <w:sz w:val="24"/>
          <w:lang w:val="en-US"/>
        </w:rPr>
        <w:t xml:space="preserve">'Berkeley and the realist- antirealist controversy in the twentieth century', for </w:t>
      </w:r>
      <w:r>
        <w:rPr>
          <w:i/>
          <w:iCs/>
          <w:sz w:val="24"/>
          <w:lang w:val="en-US"/>
        </w:rPr>
        <w:t xml:space="preserve">The Bloomsbury </w:t>
      </w:r>
    </w:p>
    <w:p w:rsidR="00706F0C" w:rsidRPr="00C80C58" w:rsidRDefault="00706F0C" w:rsidP="00706F0C">
      <w:pPr>
        <w:tabs>
          <w:tab w:val="left" w:pos="-720"/>
        </w:tabs>
        <w:spacing w:line="240" w:lineRule="atLeast"/>
        <w:rPr>
          <w:sz w:val="24"/>
          <w:lang w:val="en-US"/>
        </w:rPr>
      </w:pPr>
      <w:r>
        <w:rPr>
          <w:i/>
          <w:iCs/>
          <w:sz w:val="24"/>
          <w:lang w:val="en-US"/>
        </w:rPr>
        <w:tab/>
        <w:t xml:space="preserve">Companion to Berkeley', </w:t>
      </w:r>
      <w:r>
        <w:rPr>
          <w:sz w:val="24"/>
          <w:lang w:val="en-US"/>
        </w:rPr>
        <w:t xml:space="preserve">ed. </w:t>
      </w:r>
      <w:proofErr w:type="spellStart"/>
      <w:r>
        <w:rPr>
          <w:sz w:val="24"/>
          <w:lang w:val="en-US"/>
        </w:rPr>
        <w:t>Bertil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Belfrage</w:t>
      </w:r>
      <w:proofErr w:type="spellEnd"/>
      <w:r>
        <w:rPr>
          <w:sz w:val="24"/>
          <w:lang w:val="en-US"/>
        </w:rPr>
        <w:t>, Bloomsbury, 2017, 63-81.</w:t>
      </w:r>
    </w:p>
    <w:p w:rsidR="00706F0C" w:rsidRDefault="00706F0C" w:rsidP="00706F0C">
      <w:pPr>
        <w:rPr>
          <w:rFonts w:ascii="Times" w:hAnsi="Times" w:cs="Times"/>
          <w:sz w:val="24"/>
          <w:szCs w:val="24"/>
          <w:lang w:val="en-US"/>
        </w:rPr>
      </w:pP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szCs w:val="24"/>
          <w:lang w:val="en-US"/>
        </w:rPr>
      </w:pPr>
      <w:r w:rsidRPr="002C7BCE">
        <w:rPr>
          <w:sz w:val="24"/>
          <w:szCs w:val="24"/>
          <w:lang w:val="en-US"/>
        </w:rPr>
        <w:t>‘The “Perfect Person” conception of God verses the traditional conception</w:t>
      </w:r>
      <w:r>
        <w:rPr>
          <w:sz w:val="24"/>
          <w:szCs w:val="24"/>
          <w:lang w:val="en-US"/>
        </w:rPr>
        <w:t>. Is the difference so great?</w:t>
      </w:r>
      <w:proofErr w:type="gramStart"/>
      <w:r>
        <w:rPr>
          <w:sz w:val="24"/>
          <w:szCs w:val="24"/>
          <w:lang w:val="en-US"/>
        </w:rPr>
        <w:t>’;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Religious Studies</w:t>
      </w:r>
      <w:r>
        <w:rPr>
          <w:sz w:val="24"/>
          <w:szCs w:val="24"/>
          <w:lang w:val="en-US"/>
        </w:rPr>
        <w:t xml:space="preserve">: volume is a </w:t>
      </w:r>
      <w:r>
        <w:rPr>
          <w:i/>
          <w:sz w:val="24"/>
          <w:szCs w:val="24"/>
          <w:lang w:val="en-US"/>
        </w:rPr>
        <w:t xml:space="preserve">Festschrift </w:t>
      </w:r>
      <w:r w:rsidRPr="002C7BCE">
        <w:rPr>
          <w:sz w:val="24"/>
          <w:szCs w:val="24"/>
          <w:lang w:val="en-US"/>
        </w:rPr>
        <w:t>for Richard Swinburne; 2017</w:t>
      </w:r>
      <w:r>
        <w:rPr>
          <w:sz w:val="24"/>
          <w:szCs w:val="24"/>
          <w:lang w:val="en-US"/>
        </w:rPr>
        <w:t>, 293-306.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sz w:val="24"/>
          <w:szCs w:val="24"/>
          <w:lang w:val="en-US"/>
        </w:rPr>
      </w:pPr>
    </w:p>
    <w:p w:rsidR="00706F0C" w:rsidRPr="00C87B7C" w:rsidRDefault="00706F0C" w:rsidP="00706F0C">
      <w:pPr>
        <w:tabs>
          <w:tab w:val="left" w:pos="-720"/>
        </w:tabs>
        <w:spacing w:line="240" w:lineRule="atLeas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‘Intuitions and thought experiments’, in </w:t>
      </w:r>
      <w:r>
        <w:rPr>
          <w:i/>
          <w:sz w:val="24"/>
          <w:szCs w:val="24"/>
          <w:lang w:val="en-US"/>
        </w:rPr>
        <w:t xml:space="preserve">Thought Experiments between Nature and Society: a Festschrift for </w:t>
      </w:r>
      <w:proofErr w:type="spellStart"/>
      <w:r>
        <w:rPr>
          <w:i/>
          <w:sz w:val="24"/>
          <w:szCs w:val="24"/>
          <w:lang w:val="en-US"/>
        </w:rPr>
        <w:t>Nenad</w:t>
      </w:r>
      <w:proofErr w:type="spellEnd"/>
      <w:r>
        <w:rPr>
          <w:i/>
          <w:sz w:val="24"/>
          <w:szCs w:val="24"/>
          <w:lang w:val="en-US"/>
        </w:rPr>
        <w:t xml:space="preserve"> </w:t>
      </w:r>
      <w:proofErr w:type="spellStart"/>
      <w:r>
        <w:rPr>
          <w:i/>
          <w:sz w:val="24"/>
          <w:szCs w:val="24"/>
          <w:lang w:val="en-US"/>
        </w:rPr>
        <w:t>Miscevic</w:t>
      </w:r>
      <w:proofErr w:type="spellEnd"/>
      <w:r>
        <w:rPr>
          <w:i/>
          <w:sz w:val="24"/>
          <w:szCs w:val="24"/>
          <w:lang w:val="en-US"/>
        </w:rPr>
        <w:t xml:space="preserve">; </w:t>
      </w:r>
      <w:r>
        <w:rPr>
          <w:sz w:val="24"/>
          <w:szCs w:val="24"/>
          <w:lang w:val="en-US"/>
        </w:rPr>
        <w:t xml:space="preserve">Cambridge Scholars Publishing, 2017, </w:t>
      </w:r>
      <w:proofErr w:type="spellStart"/>
      <w:proofErr w:type="gramStart"/>
      <w:r>
        <w:rPr>
          <w:sz w:val="24"/>
          <w:szCs w:val="24"/>
          <w:lang w:val="en-US"/>
        </w:rPr>
        <w:t>eds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Pr="00C87B7C">
        <w:rPr>
          <w:sz w:val="24"/>
          <w:szCs w:val="24"/>
        </w:rPr>
        <w:t>Bojan</w:t>
      </w:r>
      <w:proofErr w:type="spellEnd"/>
      <w:r w:rsidRPr="00C87B7C">
        <w:rPr>
          <w:sz w:val="24"/>
          <w:szCs w:val="24"/>
        </w:rPr>
        <w:t xml:space="preserve"> </w:t>
      </w:r>
      <w:proofErr w:type="spellStart"/>
      <w:r w:rsidRPr="00C87B7C">
        <w:rPr>
          <w:sz w:val="24"/>
          <w:szCs w:val="24"/>
        </w:rPr>
        <w:t>Borstner</w:t>
      </w:r>
      <w:proofErr w:type="spellEnd"/>
      <w:r w:rsidRPr="00C87B7C">
        <w:rPr>
          <w:sz w:val="24"/>
          <w:szCs w:val="24"/>
        </w:rPr>
        <w:t xml:space="preserve"> and </w:t>
      </w:r>
      <w:proofErr w:type="spellStart"/>
      <w:r w:rsidRPr="00C87B7C">
        <w:rPr>
          <w:sz w:val="24"/>
          <w:szCs w:val="24"/>
        </w:rPr>
        <w:t>Smiljana</w:t>
      </w:r>
      <w:proofErr w:type="spellEnd"/>
      <w:r w:rsidRPr="00C87B7C">
        <w:rPr>
          <w:sz w:val="24"/>
          <w:szCs w:val="24"/>
        </w:rPr>
        <w:t xml:space="preserve"> Gartner</w:t>
      </w:r>
      <w:r>
        <w:rPr>
          <w:sz w:val="24"/>
          <w:szCs w:val="24"/>
        </w:rPr>
        <w:t>, 49-61.</w:t>
      </w:r>
    </w:p>
    <w:p w:rsidR="00706F0C" w:rsidRDefault="00706F0C" w:rsidP="00706F0C">
      <w:pPr>
        <w:tabs>
          <w:tab w:val="left" w:pos="-720"/>
        </w:tabs>
        <w:spacing w:line="240" w:lineRule="atLeast"/>
        <w:rPr>
          <w:b/>
          <w:sz w:val="28"/>
          <w:szCs w:val="28"/>
          <w:lang w:val="en-US"/>
        </w:rPr>
      </w:pPr>
    </w:p>
    <w:p w:rsidR="00D66D0F" w:rsidRDefault="00D66D0F"/>
    <w:sectPr w:rsidR="00D66D0F" w:rsidSect="006B01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0C"/>
    <w:rsid w:val="000A3B83"/>
    <w:rsid w:val="006B0103"/>
    <w:rsid w:val="00706F0C"/>
    <w:rsid w:val="009B7D63"/>
    <w:rsid w:val="00D66D0F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4606A64-663B-4524-A6D1-5C2672C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0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706F0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0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CEU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Johnson</dc:creator>
  <cp:keywords/>
  <dc:description/>
  <cp:lastModifiedBy>Development</cp:lastModifiedBy>
  <cp:revision>2</cp:revision>
  <dcterms:created xsi:type="dcterms:W3CDTF">2018-11-21T09:56:00Z</dcterms:created>
  <dcterms:modified xsi:type="dcterms:W3CDTF">2018-11-21T09:56:00Z</dcterms:modified>
</cp:coreProperties>
</file>